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60"/>
        <w:gridCol w:w="1702"/>
      </w:tblGrid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2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9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D36291" w:rsidRPr="00BE5072" w:rsidRDefault="00D36291" w:rsidP="00D36291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0" w:right="0"/>
            </w:pPr>
            <w:r>
              <w:rPr>
                <w:sz w:val="20"/>
              </w:rPr>
              <w:t>14,51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20" w:right="110" w:firstLine="6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9"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1507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9.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B32E53" w:rsidRDefault="00B32E53" w:rsidP="00B32E53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9"/>
            </w:pPr>
            <w:r>
              <w:rPr>
                <w:sz w:val="20"/>
              </w:rPr>
              <w:t>48,48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39" w:right="158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23,59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720BDD" w:rsidRDefault="00B32E53" w:rsidP="00B32E53">
            <w:pPr>
              <w:spacing w:line="254" w:lineRule="auto"/>
              <w:rPr>
                <w:sz w:val="20"/>
                <w:szCs w:val="20"/>
              </w:rPr>
            </w:pPr>
            <w:r w:rsidRPr="00720BDD">
              <w:rPr>
                <w:sz w:val="20"/>
                <w:szCs w:val="20"/>
              </w:rPr>
              <w:t xml:space="preserve">Нови Сад, </w:t>
            </w:r>
            <w:proofErr w:type="spellStart"/>
            <w:r w:rsidRPr="00720BDD">
              <w:rPr>
                <w:sz w:val="20"/>
                <w:szCs w:val="20"/>
              </w:rPr>
              <w:t>Поштанска</w:t>
            </w:r>
            <w:proofErr w:type="spellEnd"/>
          </w:p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 w:rsidRPr="00720BDD">
              <w:rPr>
                <w:sz w:val="20"/>
                <w:szCs w:val="20"/>
              </w:rPr>
              <w:t>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 w:rsidRPr="00720BDD">
              <w:rPr>
                <w:sz w:val="20"/>
                <w:szCs w:val="20"/>
              </w:rPr>
              <w:t>9,90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</w:rPr>
              <w:t>372,96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D63B9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Радничка 6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D63B9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15,26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D63B9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372,96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lastRenderedPageBreak/>
              <w:t>14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0"/>
            </w:pPr>
            <w:r>
              <w:rPr>
                <w:sz w:val="20"/>
              </w:rPr>
              <w:t>Нови Сад,</w:t>
            </w:r>
          </w:p>
          <w:p w:rsidR="00B32E53" w:rsidRDefault="00B32E53" w:rsidP="00B32E53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B32E53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Аполо, локал Е14, трећи спрат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C3297" w:rsidRDefault="00B32E53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350C74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17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B32E53" w:rsidRPr="001228B5" w:rsidRDefault="00B32E53" w:rsidP="00B32E53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350C74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18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Футошка 30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787,36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350C74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19</w:t>
            </w:r>
            <w:bookmarkStart w:id="0" w:name="_GoBack"/>
            <w:bookmarkEnd w:id="0"/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C7195B" w:rsidRDefault="00B32E53" w:rsidP="00B32E53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455FCB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lastRenderedPageBreak/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управа, на предлог Комисије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316519" w:rsidRDefault="00316519"/>
    <w:sectPr w:rsidR="00316519" w:rsidSect="00B32E5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316519"/>
    <w:rsid w:val="00350C74"/>
    <w:rsid w:val="00946ABC"/>
    <w:rsid w:val="00B32E53"/>
    <w:rsid w:val="00D36291"/>
    <w:rsid w:val="00D71A56"/>
    <w:rsid w:val="00D80612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3F90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Marijana Danilović</cp:lastModifiedBy>
  <cp:revision>2</cp:revision>
  <dcterms:created xsi:type="dcterms:W3CDTF">2023-08-07T05:55:00Z</dcterms:created>
  <dcterms:modified xsi:type="dcterms:W3CDTF">2023-08-07T05:55:00Z</dcterms:modified>
</cp:coreProperties>
</file>